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2970"/>
        <w:gridCol w:w="3150"/>
      </w:tblGrid>
      <w:tr w:rsidR="00090603" w:rsidRPr="00340BCC" w:rsidTr="00B4187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State of Nevada</w:t>
            </w:r>
          </w:p>
        </w:tc>
        <w:tc>
          <w:tcPr>
            <w:tcW w:w="2970" w:type="dxa"/>
            <w:vMerge w:val="restart"/>
            <w:vAlign w:val="center"/>
          </w:tcPr>
          <w:p w:rsidR="00090603" w:rsidRPr="00340BCC" w:rsidRDefault="00B4187E" w:rsidP="00B4187E">
            <w:pPr>
              <w:tabs>
                <w:tab w:val="center" w:pos="5040"/>
                <w:tab w:val="center" w:pos="9450"/>
              </w:tabs>
              <w:jc w:val="center"/>
              <w:rPr>
                <w:rFonts w:ascii="CG Times" w:hAnsi="CG Times"/>
                <w:sz w:val="16"/>
              </w:rPr>
            </w:pPr>
            <w:r w:rsidRPr="00340BCC">
              <w:rPr>
                <w:rFonts w:ascii="CG Times" w:hAnsi="CG Times"/>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pt" o:ole="">
                  <v:imagedata r:id="rId8" o:title="" cropbottom="26758f"/>
                </v:shape>
                <o:OLEObject Type="Embed" ProgID="Word.Picture.8" ShapeID="_x0000_i1025" DrawAspect="Content" ObjectID="_1566366568" r:id="rId9"/>
              </w:object>
            </w:r>
          </w:p>
          <w:p w:rsidR="00090603" w:rsidRPr="00340BCC" w:rsidRDefault="00090603" w:rsidP="00B4187E">
            <w:pPr>
              <w:pStyle w:val="Header"/>
              <w:tabs>
                <w:tab w:val="center" w:pos="5040"/>
                <w:tab w:val="center" w:pos="9900"/>
              </w:tabs>
              <w:jc w:val="center"/>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Brian Sandoval</w:t>
            </w:r>
          </w:p>
        </w:tc>
      </w:tr>
      <w:tr w:rsidR="00090603" w:rsidRPr="00340BCC" w:rsidTr="00B4187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Department of Administration</w:t>
            </w:r>
          </w:p>
        </w:tc>
        <w:tc>
          <w:tcPr>
            <w:tcW w:w="297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Governor</w:t>
            </w:r>
          </w:p>
        </w:tc>
      </w:tr>
      <w:tr w:rsidR="00090603" w:rsidRPr="00340BCC" w:rsidTr="00B4187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Purchasing Division</w:t>
            </w:r>
          </w:p>
        </w:tc>
        <w:tc>
          <w:tcPr>
            <w:tcW w:w="297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p>
        </w:tc>
      </w:tr>
      <w:tr w:rsidR="00090603" w:rsidRPr="00340BCC" w:rsidTr="00B4187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515 E. Musser Street, Suite 300</w:t>
            </w:r>
          </w:p>
        </w:tc>
        <w:tc>
          <w:tcPr>
            <w:tcW w:w="297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D674C6" w:rsidP="00757710">
            <w:pPr>
              <w:pStyle w:val="Header"/>
              <w:tabs>
                <w:tab w:val="center" w:pos="5040"/>
                <w:tab w:val="center" w:pos="9900"/>
              </w:tabs>
              <w:jc w:val="right"/>
              <w:rPr>
                <w:rFonts w:ascii="CG Times" w:hAnsi="CG Times"/>
                <w:sz w:val="16"/>
              </w:rPr>
            </w:pPr>
            <w:r>
              <w:rPr>
                <w:rFonts w:ascii="CG Times" w:hAnsi="CG Times"/>
                <w:sz w:val="16"/>
              </w:rPr>
              <w:t>Jeffrey Haag</w:t>
            </w:r>
          </w:p>
        </w:tc>
      </w:tr>
      <w:tr w:rsidR="00090603" w:rsidRPr="00340BCC" w:rsidTr="00B4187E">
        <w:tc>
          <w:tcPr>
            <w:tcW w:w="3438" w:type="dxa"/>
          </w:tcPr>
          <w:p w:rsidR="00090603" w:rsidRPr="00340BCC" w:rsidRDefault="00090603" w:rsidP="002F7316">
            <w:pPr>
              <w:pStyle w:val="Header"/>
              <w:tabs>
                <w:tab w:val="center" w:pos="5040"/>
                <w:tab w:val="center" w:pos="9900"/>
              </w:tabs>
              <w:rPr>
                <w:rFonts w:ascii="CG Times" w:hAnsi="CG Times"/>
                <w:sz w:val="16"/>
              </w:rPr>
            </w:pPr>
            <w:r w:rsidRPr="00340BCC">
              <w:rPr>
                <w:rFonts w:ascii="CG Times" w:hAnsi="CG Times"/>
                <w:sz w:val="16"/>
              </w:rPr>
              <w:t>Carson City, NV  89701</w:t>
            </w:r>
          </w:p>
        </w:tc>
        <w:tc>
          <w:tcPr>
            <w:tcW w:w="2970" w:type="dxa"/>
            <w:vMerge/>
          </w:tcPr>
          <w:p w:rsidR="00090603" w:rsidRPr="00340BCC" w:rsidRDefault="00090603" w:rsidP="002F7316">
            <w:pPr>
              <w:pStyle w:val="Header"/>
              <w:tabs>
                <w:tab w:val="center" w:pos="5040"/>
                <w:tab w:val="center" w:pos="9900"/>
              </w:tabs>
              <w:jc w:val="both"/>
              <w:rPr>
                <w:rFonts w:ascii="CG Times" w:hAnsi="CG Times"/>
                <w:sz w:val="16"/>
              </w:rPr>
            </w:pPr>
          </w:p>
        </w:tc>
        <w:tc>
          <w:tcPr>
            <w:tcW w:w="3150" w:type="dxa"/>
          </w:tcPr>
          <w:p w:rsidR="00090603" w:rsidRPr="00340BCC" w:rsidRDefault="00090603" w:rsidP="002F7316">
            <w:pPr>
              <w:pStyle w:val="Header"/>
              <w:tabs>
                <w:tab w:val="center" w:pos="5040"/>
                <w:tab w:val="center" w:pos="9900"/>
              </w:tabs>
              <w:jc w:val="right"/>
              <w:rPr>
                <w:rFonts w:ascii="CG Times" w:hAnsi="CG Times"/>
                <w:sz w:val="16"/>
              </w:rPr>
            </w:pPr>
            <w:r w:rsidRPr="00340BCC">
              <w:rPr>
                <w:rFonts w:ascii="CG Times" w:hAnsi="CG Times"/>
                <w:sz w:val="16"/>
              </w:rPr>
              <w:t>Administrator</w:t>
            </w:r>
          </w:p>
        </w:tc>
      </w:tr>
    </w:tbl>
    <w:p w:rsidR="00090603" w:rsidRDefault="00090603" w:rsidP="00090603">
      <w:pPr>
        <w:pStyle w:val="Heading1"/>
      </w:pPr>
    </w:p>
    <w:tbl>
      <w:tblPr>
        <w:tblW w:w="0" w:type="auto"/>
        <w:tblLook w:val="04A0" w:firstRow="1" w:lastRow="0" w:firstColumn="1" w:lastColumn="0" w:noHBand="0" w:noVBand="1"/>
      </w:tblPr>
      <w:tblGrid>
        <w:gridCol w:w="3718"/>
        <w:gridCol w:w="5858"/>
      </w:tblGrid>
      <w:tr w:rsidR="00090603" w:rsidTr="00090603">
        <w:trPr>
          <w:trHeight w:val="432"/>
        </w:trPr>
        <w:tc>
          <w:tcPr>
            <w:tcW w:w="3718" w:type="dxa"/>
            <w:vAlign w:val="center"/>
          </w:tcPr>
          <w:p w:rsidR="00090603" w:rsidRPr="005E5239" w:rsidRDefault="00090603" w:rsidP="002F7316">
            <w:pPr>
              <w:rPr>
                <w:szCs w:val="24"/>
              </w:rPr>
            </w:pPr>
            <w:r w:rsidRPr="005E5239">
              <w:rPr>
                <w:szCs w:val="24"/>
              </w:rPr>
              <w:t>SUBJECT:</w:t>
            </w:r>
          </w:p>
        </w:tc>
        <w:tc>
          <w:tcPr>
            <w:tcW w:w="5858" w:type="dxa"/>
            <w:vAlign w:val="center"/>
          </w:tcPr>
          <w:p w:rsidR="00090603" w:rsidRPr="005E5239" w:rsidRDefault="00090603" w:rsidP="00BD4CA2">
            <w:pPr>
              <w:rPr>
                <w:szCs w:val="24"/>
              </w:rPr>
            </w:pPr>
            <w:r w:rsidRPr="005E5239">
              <w:rPr>
                <w:szCs w:val="24"/>
              </w:rPr>
              <w:t xml:space="preserve">Amendment </w:t>
            </w:r>
            <w:r w:rsidR="00BD4CA2">
              <w:rPr>
                <w:szCs w:val="24"/>
              </w:rPr>
              <w:t>1</w:t>
            </w:r>
            <w:r w:rsidR="009F4206">
              <w:rPr>
                <w:szCs w:val="24"/>
              </w:rPr>
              <w:t xml:space="preserve"> </w:t>
            </w:r>
            <w:r w:rsidRPr="005E5239">
              <w:rPr>
                <w:szCs w:val="24"/>
              </w:rPr>
              <w:t xml:space="preserve">to Request for </w:t>
            </w:r>
            <w:r w:rsidR="009C7132">
              <w:rPr>
                <w:szCs w:val="24"/>
              </w:rPr>
              <w:t>Qualification</w:t>
            </w:r>
            <w:r w:rsidRPr="005E5239">
              <w:rPr>
                <w:szCs w:val="24"/>
              </w:rPr>
              <w:t xml:space="preserve"> </w:t>
            </w:r>
            <w:r w:rsidR="00BD4CA2">
              <w:rPr>
                <w:szCs w:val="24"/>
              </w:rPr>
              <w:t>3429</w:t>
            </w:r>
          </w:p>
        </w:tc>
      </w:tr>
      <w:tr w:rsidR="00090603" w:rsidTr="00090603">
        <w:trPr>
          <w:trHeight w:val="432"/>
        </w:trPr>
        <w:tc>
          <w:tcPr>
            <w:tcW w:w="3718" w:type="dxa"/>
            <w:vAlign w:val="center"/>
          </w:tcPr>
          <w:p w:rsidR="00090603" w:rsidRPr="005E5239" w:rsidRDefault="00090603" w:rsidP="002F7316">
            <w:pPr>
              <w:rPr>
                <w:szCs w:val="24"/>
              </w:rPr>
            </w:pPr>
            <w:r w:rsidRPr="005E5239">
              <w:rPr>
                <w:szCs w:val="24"/>
              </w:rPr>
              <w:t>DATE OF AMENDMENT:</w:t>
            </w:r>
          </w:p>
        </w:tc>
        <w:tc>
          <w:tcPr>
            <w:tcW w:w="5858" w:type="dxa"/>
            <w:vAlign w:val="center"/>
          </w:tcPr>
          <w:p w:rsidR="00090603" w:rsidRPr="005E5239" w:rsidRDefault="00CB7826" w:rsidP="002F7316">
            <w:pPr>
              <w:rPr>
                <w:szCs w:val="24"/>
              </w:rPr>
            </w:pPr>
            <w:r>
              <w:rPr>
                <w:szCs w:val="24"/>
              </w:rPr>
              <w:t>September 8, 2017</w:t>
            </w:r>
          </w:p>
        </w:tc>
      </w:tr>
      <w:tr w:rsidR="00090603" w:rsidTr="00090603">
        <w:trPr>
          <w:trHeight w:val="432"/>
        </w:trPr>
        <w:tc>
          <w:tcPr>
            <w:tcW w:w="3718" w:type="dxa"/>
            <w:vAlign w:val="center"/>
          </w:tcPr>
          <w:p w:rsidR="00090603" w:rsidRPr="005E5239" w:rsidRDefault="00090603" w:rsidP="002F7316">
            <w:pPr>
              <w:rPr>
                <w:szCs w:val="24"/>
              </w:rPr>
            </w:pPr>
            <w:r w:rsidRPr="005E5239">
              <w:rPr>
                <w:szCs w:val="24"/>
              </w:rPr>
              <w:t xml:space="preserve">DATE OF </w:t>
            </w:r>
            <w:r w:rsidR="009C7132">
              <w:rPr>
                <w:szCs w:val="24"/>
              </w:rPr>
              <w:t>RFQ</w:t>
            </w:r>
            <w:r w:rsidRPr="005E5239">
              <w:rPr>
                <w:szCs w:val="24"/>
              </w:rPr>
              <w:t xml:space="preserve"> RELEASE:</w:t>
            </w:r>
          </w:p>
        </w:tc>
        <w:tc>
          <w:tcPr>
            <w:tcW w:w="5858" w:type="dxa"/>
            <w:vAlign w:val="center"/>
          </w:tcPr>
          <w:p w:rsidR="00090603" w:rsidRPr="005E5239" w:rsidRDefault="00BD4CA2" w:rsidP="002F7316">
            <w:pPr>
              <w:rPr>
                <w:szCs w:val="24"/>
              </w:rPr>
            </w:pPr>
            <w:r>
              <w:rPr>
                <w:szCs w:val="24"/>
              </w:rPr>
              <w:t>August 25, 2017</w:t>
            </w:r>
          </w:p>
        </w:tc>
      </w:tr>
      <w:tr w:rsidR="00090603" w:rsidTr="00090603">
        <w:trPr>
          <w:trHeight w:val="432"/>
        </w:trPr>
        <w:tc>
          <w:tcPr>
            <w:tcW w:w="3718" w:type="dxa"/>
            <w:vAlign w:val="center"/>
          </w:tcPr>
          <w:p w:rsidR="00090603" w:rsidRPr="005E5239" w:rsidRDefault="00090603" w:rsidP="002F7316">
            <w:pPr>
              <w:rPr>
                <w:szCs w:val="24"/>
              </w:rPr>
            </w:pPr>
            <w:r w:rsidRPr="005E5239">
              <w:rPr>
                <w:szCs w:val="24"/>
              </w:rPr>
              <w:t>DATE AND TIME OF OPENING:</w:t>
            </w:r>
          </w:p>
        </w:tc>
        <w:tc>
          <w:tcPr>
            <w:tcW w:w="5858" w:type="dxa"/>
            <w:vAlign w:val="center"/>
          </w:tcPr>
          <w:p w:rsidR="00090603" w:rsidRPr="005E5239" w:rsidRDefault="00BD4CA2" w:rsidP="009F4206">
            <w:pPr>
              <w:rPr>
                <w:szCs w:val="24"/>
              </w:rPr>
            </w:pPr>
            <w:r>
              <w:rPr>
                <w:szCs w:val="24"/>
              </w:rPr>
              <w:t>September 21, 2017 @ 2:00 PM</w:t>
            </w:r>
          </w:p>
        </w:tc>
      </w:tr>
      <w:tr w:rsidR="00090603" w:rsidTr="00090603">
        <w:trPr>
          <w:trHeight w:val="432"/>
        </w:trPr>
        <w:tc>
          <w:tcPr>
            <w:tcW w:w="3718" w:type="dxa"/>
            <w:vAlign w:val="center"/>
          </w:tcPr>
          <w:p w:rsidR="00090603" w:rsidRPr="005E5239" w:rsidRDefault="00090603" w:rsidP="002F7316">
            <w:pPr>
              <w:rPr>
                <w:szCs w:val="24"/>
              </w:rPr>
            </w:pPr>
            <w:r w:rsidRPr="005E5239">
              <w:rPr>
                <w:szCs w:val="24"/>
              </w:rPr>
              <w:t>AGENCY CONTACT:</w:t>
            </w:r>
          </w:p>
        </w:tc>
        <w:tc>
          <w:tcPr>
            <w:tcW w:w="5858" w:type="dxa"/>
            <w:vAlign w:val="center"/>
          </w:tcPr>
          <w:p w:rsidR="00090603" w:rsidRPr="005E5239" w:rsidRDefault="00BD4CA2" w:rsidP="009D52CF">
            <w:pPr>
              <w:rPr>
                <w:szCs w:val="24"/>
              </w:rPr>
            </w:pPr>
            <w:r>
              <w:rPr>
                <w:szCs w:val="24"/>
              </w:rPr>
              <w:t>Nancy Feser</w:t>
            </w:r>
            <w:r w:rsidR="00FF538B">
              <w:rPr>
                <w:szCs w:val="24"/>
              </w:rPr>
              <w:t>, P</w:t>
            </w:r>
            <w:r w:rsidR="009D52CF">
              <w:rPr>
                <w:szCs w:val="24"/>
              </w:rPr>
              <w:t>rocurement Staff Member</w:t>
            </w:r>
          </w:p>
        </w:tc>
      </w:tr>
    </w:tbl>
    <w:p w:rsidR="00090603" w:rsidRPr="0063628C" w:rsidRDefault="00090603" w:rsidP="00090603">
      <w:pPr>
        <w:pBdr>
          <w:bottom w:val="single" w:sz="12" w:space="1" w:color="auto"/>
        </w:pBdr>
      </w:pPr>
    </w:p>
    <w:p w:rsidR="00090603" w:rsidRPr="0063628C" w:rsidRDefault="00090603" w:rsidP="00090603"/>
    <w:p w:rsidR="00090603" w:rsidRDefault="00090603" w:rsidP="00090603">
      <w:pPr>
        <w:jc w:val="both"/>
      </w:pPr>
      <w:r>
        <w:t xml:space="preserve">The following shall be a part of </w:t>
      </w:r>
      <w:r w:rsidR="009C7132">
        <w:t>RFQ</w:t>
      </w:r>
      <w:r>
        <w:t xml:space="preserve"> </w:t>
      </w:r>
      <w:r w:rsidR="00BD4CA2" w:rsidRPr="00BD4CA2">
        <w:rPr>
          <w:b/>
          <w:i/>
        </w:rPr>
        <w:t>3429</w:t>
      </w:r>
      <w:r w:rsidR="009F4206" w:rsidRPr="00BD4CA2">
        <w:t xml:space="preserve"> </w:t>
      </w:r>
      <w:r w:rsidRPr="00BD4CA2">
        <w:t xml:space="preserve">for </w:t>
      </w:r>
      <w:r w:rsidR="00BD4CA2" w:rsidRPr="00BD4CA2">
        <w:rPr>
          <w:b/>
          <w:i/>
        </w:rPr>
        <w:t>Court Reporting Services</w:t>
      </w:r>
      <w:r w:rsidRPr="009F4206">
        <w:rPr>
          <w:b/>
          <w:i/>
        </w:rPr>
        <w:t>.</w:t>
      </w:r>
      <w:r>
        <w:t xml:space="preserve">  If a vendor has already returned a proposal and any of the information provided below changes that proposal, please submit the changes along with this amendment.  You need not re-submit an entire proposal prior to the opening date and time.</w:t>
      </w:r>
    </w:p>
    <w:p w:rsidR="00090603" w:rsidRPr="0063628C" w:rsidRDefault="00090603" w:rsidP="00090603">
      <w:pPr>
        <w:pBdr>
          <w:bottom w:val="single" w:sz="12" w:space="1" w:color="auto"/>
        </w:pBdr>
      </w:pPr>
    </w:p>
    <w:p w:rsidR="00090603" w:rsidRPr="00980BB0" w:rsidRDefault="00090603" w:rsidP="00090603">
      <w:pPr>
        <w:jc w:val="both"/>
      </w:pPr>
    </w:p>
    <w:p w:rsidR="002F7316" w:rsidRDefault="002F7316" w:rsidP="009F4206">
      <w:pPr>
        <w:pStyle w:val="NormalWeb"/>
        <w:spacing w:before="0" w:beforeAutospacing="0" w:after="0" w:afterAutospacing="0"/>
        <w:ind w:left="720" w:hanging="720"/>
        <w:jc w:val="both"/>
      </w:pPr>
      <w:r>
        <w:t>1.</w:t>
      </w:r>
      <w:r>
        <w:tab/>
      </w:r>
      <w:r w:rsidR="00965526" w:rsidRPr="00965526">
        <w:t>Under 2.2.14   Minutes and audio recordings are generally created by an employee of the state agency, not the court reporter.  NRS 241.035 only states that minutes of state agency meetings may be turned over for archival preservation. NAC 239.850 further provides that the State Archives receives legal custody only of "minutes" not transcripts.  What is the authority for requiring transfer of court reporter transcripts to State Archives? By what authority does State Archive obtain legal custody of court reporter transcripts and deny compensation to court reporter when transcripts are provided by State Archives? Such a process appears to violate NRS 239.053(1)</w:t>
      </w:r>
    </w:p>
    <w:p w:rsidR="00965526" w:rsidRDefault="00965526" w:rsidP="009F4206">
      <w:pPr>
        <w:pStyle w:val="NormalWeb"/>
        <w:spacing w:before="0" w:beforeAutospacing="0" w:after="0" w:afterAutospacing="0"/>
        <w:ind w:left="720" w:hanging="720"/>
        <w:jc w:val="both"/>
      </w:pPr>
    </w:p>
    <w:p w:rsidR="00CB7826" w:rsidRPr="00CB7826" w:rsidRDefault="00CB7826" w:rsidP="00CB7826">
      <w:pPr>
        <w:ind w:left="720"/>
        <w:jc w:val="both"/>
        <w:rPr>
          <w:rFonts w:eastAsia="Calibri"/>
          <w:b/>
          <w:i/>
          <w:szCs w:val="24"/>
        </w:rPr>
      </w:pPr>
      <w:r w:rsidRPr="00CB7826">
        <w:rPr>
          <w:rFonts w:eastAsia="Calibri"/>
          <w:b/>
          <w:i/>
          <w:szCs w:val="24"/>
        </w:rPr>
        <w:t>NRS 241.035 sets forth the minimal requirements for maintaining minutes for</w:t>
      </w:r>
      <w:r>
        <w:rPr>
          <w:rFonts w:eastAsia="Calibri"/>
          <w:b/>
          <w:i/>
          <w:szCs w:val="24"/>
        </w:rPr>
        <w:t xml:space="preserve"> the purposes of Nevada’s Open </w:t>
      </w:r>
      <w:r w:rsidRPr="00CB7826">
        <w:rPr>
          <w:rFonts w:eastAsia="Calibri"/>
          <w:b/>
          <w:i/>
          <w:szCs w:val="24"/>
        </w:rPr>
        <w:t>Meeting Law.  However, additional materials may be preserved and protected by Nevada’s Public Records Act.  Pursuant to NAC 239.850, “…the minutes of a public body, including agendas, exhibits and other related records, may be transferred for archival presentation and continued public access…”  The term “related records” can include transcripts or portions of transcripts.  Section 2.2.14 allows a court reporter to charge fees for copies of transcripts for five years before a transcript or a portion of a transcript is included as part of an archived record.  This gives the court reporter an opportunity to collect fees in accordance with NRS 239.053.  However, it would make little sense to assume a perpetual right in archived material that could theoretically sit in a library for 500 years.  As set forth in NRS 239.053, the fees to be collected by court reporters for copies of transcripts are “as set forth in the contract between the governmental entity and the court reporter.”  For any contract resulting from this RFQ, those fees are limited to the five years before any possible archival of a transcript because the administrative costs associated with tracking down the heirs of a court reporter 500 years in the future would be prohibitive.</w:t>
      </w:r>
    </w:p>
    <w:p w:rsidR="00965526" w:rsidRDefault="00965526" w:rsidP="009F4206">
      <w:pPr>
        <w:pStyle w:val="NormalWeb"/>
        <w:spacing w:before="0" w:beforeAutospacing="0" w:after="0" w:afterAutospacing="0"/>
        <w:ind w:left="720" w:hanging="720"/>
        <w:jc w:val="both"/>
      </w:pPr>
    </w:p>
    <w:p w:rsidR="00CB7826" w:rsidRDefault="00CB7826">
      <w:r>
        <w:br w:type="page"/>
      </w:r>
    </w:p>
    <w:p w:rsidR="001340ED" w:rsidRDefault="001340ED" w:rsidP="001340ED"/>
    <w:p w:rsidR="00CB7826" w:rsidRDefault="00CB7826" w:rsidP="001340ED"/>
    <w:p w:rsidR="00CB7826" w:rsidRPr="001340ED" w:rsidRDefault="00CB7826" w:rsidP="001340ED"/>
    <w:p w:rsidR="001340ED" w:rsidRPr="001340ED" w:rsidRDefault="001340ED" w:rsidP="001340ED">
      <w:r>
        <w:t>2.</w:t>
      </w:r>
      <w:r>
        <w:tab/>
      </w:r>
      <w:r w:rsidRPr="001340ED">
        <w:t xml:space="preserve">How much lead time is given when scheduling?  The RFQ </w:t>
      </w:r>
      <w:proofErr w:type="gramStart"/>
      <w:r w:rsidRPr="001340ED">
        <w:t>mentions is</w:t>
      </w:r>
      <w:proofErr w:type="gramEnd"/>
      <w:r w:rsidRPr="001340ED">
        <w:t xml:space="preserve"> will be a </w:t>
      </w:r>
      <w:r>
        <w:tab/>
      </w:r>
      <w:r w:rsidRPr="001340ED">
        <w:t xml:space="preserve">“reasonable” time, but is there an example of what that is? </w:t>
      </w:r>
    </w:p>
    <w:p w:rsidR="001340ED" w:rsidRDefault="001340ED" w:rsidP="001340ED"/>
    <w:p w:rsidR="001340ED" w:rsidRPr="00075229" w:rsidRDefault="00075229" w:rsidP="001340ED">
      <w:pPr>
        <w:rPr>
          <w:b/>
          <w:i/>
        </w:rPr>
      </w:pPr>
      <w:r>
        <w:tab/>
      </w:r>
      <w:r>
        <w:rPr>
          <w:b/>
          <w:i/>
        </w:rPr>
        <w:t xml:space="preserve">Lead time is determined by the induvial agencies needs and not controlled by State </w:t>
      </w:r>
      <w:r>
        <w:rPr>
          <w:b/>
          <w:i/>
        </w:rPr>
        <w:tab/>
        <w:t>Purchasing.</w:t>
      </w:r>
    </w:p>
    <w:p w:rsidR="001340ED" w:rsidRDefault="001340ED" w:rsidP="001340ED"/>
    <w:p w:rsidR="001340ED" w:rsidRDefault="001340ED" w:rsidP="001340ED">
      <w:r>
        <w:t>3.</w:t>
      </w:r>
      <w:r>
        <w:tab/>
      </w:r>
      <w:r w:rsidRPr="001340ED">
        <w:t xml:space="preserve">Are our independent contractor reporters considered “subcontractors” for this RFQ since </w:t>
      </w:r>
      <w:r>
        <w:tab/>
      </w:r>
      <w:r w:rsidRPr="001340ED">
        <w:t>they are not directly employed by our company?</w:t>
      </w:r>
    </w:p>
    <w:p w:rsidR="00B55E8C" w:rsidRDefault="00B55E8C" w:rsidP="001340ED"/>
    <w:p w:rsidR="00B55E8C" w:rsidRPr="00B55E8C" w:rsidRDefault="00B55E8C" w:rsidP="001340ED">
      <w:pPr>
        <w:rPr>
          <w:b/>
          <w:i/>
        </w:rPr>
      </w:pPr>
      <w:r>
        <w:tab/>
      </w:r>
      <w:r w:rsidRPr="00B55E8C">
        <w:rPr>
          <w:b/>
          <w:i/>
        </w:rPr>
        <w:t xml:space="preserve">Court Reporters associated with your company are considered “Sub Contracts” if you </w:t>
      </w:r>
      <w:r>
        <w:rPr>
          <w:b/>
          <w:i/>
        </w:rPr>
        <w:tab/>
      </w:r>
      <w:r w:rsidRPr="00B55E8C">
        <w:rPr>
          <w:b/>
          <w:i/>
        </w:rPr>
        <w:t>are not reporting their earnings to the IRS.</w:t>
      </w:r>
    </w:p>
    <w:p w:rsidR="002B1C16" w:rsidRPr="002B1C16" w:rsidRDefault="002B1C16" w:rsidP="002B1C16"/>
    <w:p w:rsidR="002B1C16" w:rsidRPr="002B1C16" w:rsidRDefault="002B1C16" w:rsidP="002B1C16">
      <w:r>
        <w:t>4.</w:t>
      </w:r>
      <w:r>
        <w:tab/>
      </w:r>
      <w:r w:rsidRPr="002B1C16">
        <w:t xml:space="preserve">Will these be taking place at a courthouse? </w:t>
      </w:r>
    </w:p>
    <w:p w:rsidR="002B1C16" w:rsidRDefault="002B1C16" w:rsidP="002B1C16"/>
    <w:p w:rsidR="00075229" w:rsidRPr="00CB7826" w:rsidRDefault="00075229">
      <w:pPr>
        <w:rPr>
          <w:b/>
          <w:i/>
        </w:rPr>
      </w:pPr>
      <w:r>
        <w:tab/>
      </w:r>
      <w:r>
        <w:rPr>
          <w:b/>
          <w:i/>
        </w:rPr>
        <w:t>Each situation is different, as to locations where a court reporter will be needed.</w:t>
      </w:r>
    </w:p>
    <w:p w:rsidR="002B1C16" w:rsidRDefault="002B1C16" w:rsidP="002B1C16"/>
    <w:p w:rsidR="002B1C16" w:rsidRPr="002B1C16" w:rsidRDefault="002B1C16" w:rsidP="002B1C16">
      <w:r>
        <w:t>5.</w:t>
      </w:r>
      <w:r>
        <w:tab/>
      </w:r>
      <w:r w:rsidRPr="002B1C16">
        <w:t xml:space="preserve">In reference to the rates provided - are these the current rates being paid to the state's </w:t>
      </w:r>
      <w:r>
        <w:tab/>
      </w:r>
      <w:r w:rsidRPr="002B1C16">
        <w:t>current vendor?</w:t>
      </w:r>
    </w:p>
    <w:p w:rsidR="002B1C16" w:rsidRDefault="002B1C16" w:rsidP="009F4206">
      <w:pPr>
        <w:pStyle w:val="NormalWeb"/>
        <w:spacing w:before="0" w:beforeAutospacing="0" w:after="0" w:afterAutospacing="0"/>
        <w:ind w:left="720" w:hanging="720"/>
        <w:jc w:val="both"/>
      </w:pPr>
    </w:p>
    <w:p w:rsidR="002B1C16" w:rsidRPr="00075229" w:rsidRDefault="00075229" w:rsidP="009F4206">
      <w:pPr>
        <w:pStyle w:val="NormalWeb"/>
        <w:spacing w:before="0" w:beforeAutospacing="0" w:after="0" w:afterAutospacing="0"/>
        <w:ind w:left="720" w:hanging="720"/>
        <w:jc w:val="both"/>
        <w:rPr>
          <w:b/>
          <w:i/>
        </w:rPr>
      </w:pPr>
      <w:r>
        <w:tab/>
      </w:r>
      <w:r>
        <w:rPr>
          <w:b/>
          <w:i/>
        </w:rPr>
        <w:t>Per NRS 3.370 the rates shown in Attachment G – Cost Schedule they are the current rates paid to the vendors.</w:t>
      </w:r>
    </w:p>
    <w:p w:rsidR="002B1C16" w:rsidRPr="00BF4121" w:rsidRDefault="002B1C16" w:rsidP="00BF4121"/>
    <w:p w:rsidR="00BF4121" w:rsidRPr="00BF4121" w:rsidRDefault="00BF4121" w:rsidP="00BF4121">
      <w:r>
        <w:t>6.</w:t>
      </w:r>
      <w:r>
        <w:tab/>
      </w:r>
      <w:r w:rsidRPr="00BF4121">
        <w:t xml:space="preserve">Is there any historical information? For example: volume of work as a whole, volume of </w:t>
      </w:r>
      <w:r>
        <w:tab/>
      </w:r>
      <w:r w:rsidRPr="00BF4121">
        <w:t>work for hearings and depositions separately, e</w:t>
      </w:r>
      <w:r w:rsidR="00803F4A">
        <w:t>tc</w:t>
      </w:r>
      <w:r w:rsidRPr="00BF4121">
        <w:t>.?</w:t>
      </w:r>
    </w:p>
    <w:p w:rsidR="00BF4121" w:rsidRDefault="00BF4121" w:rsidP="00BF4121"/>
    <w:p w:rsidR="00BF4121" w:rsidRPr="00075229" w:rsidRDefault="00075229" w:rsidP="00BF4121">
      <w:pPr>
        <w:rPr>
          <w:b/>
          <w:i/>
        </w:rPr>
      </w:pPr>
      <w:r>
        <w:tab/>
      </w:r>
      <w:r>
        <w:rPr>
          <w:b/>
          <w:i/>
        </w:rPr>
        <w:t>That information is not available.</w:t>
      </w:r>
    </w:p>
    <w:p w:rsidR="00BF4121" w:rsidRPr="00BF4121" w:rsidRDefault="00BF4121" w:rsidP="00BF4121"/>
    <w:p w:rsidR="00BF4121" w:rsidRPr="00BF4121" w:rsidRDefault="00BF4121" w:rsidP="00BF4121">
      <w:r>
        <w:t>7.</w:t>
      </w:r>
      <w:r>
        <w:tab/>
      </w:r>
      <w:r w:rsidRPr="00BF4121">
        <w:t>Is the</w:t>
      </w:r>
      <w:r w:rsidR="00F57627">
        <w:t xml:space="preserve"> </w:t>
      </w:r>
      <w:r w:rsidRPr="00BF4121">
        <w:t>current incumbent vendor providing these services? If so, what is their pricing?</w:t>
      </w:r>
    </w:p>
    <w:p w:rsidR="00BF4121" w:rsidRDefault="00BF4121" w:rsidP="00BF4121"/>
    <w:p w:rsidR="00BF4121" w:rsidRPr="00075229" w:rsidRDefault="00075229" w:rsidP="00BF4121">
      <w:pPr>
        <w:rPr>
          <w:b/>
          <w:i/>
        </w:rPr>
      </w:pPr>
      <w:r>
        <w:tab/>
      </w:r>
      <w:r w:rsidRPr="00075229">
        <w:rPr>
          <w:b/>
          <w:i/>
        </w:rPr>
        <w:t xml:space="preserve">The previous vendors where paid </w:t>
      </w:r>
      <w:r>
        <w:rPr>
          <w:b/>
          <w:i/>
        </w:rPr>
        <w:t>at the rates per NRS 3.370 only.</w:t>
      </w:r>
      <w:r w:rsidR="00227B50">
        <w:rPr>
          <w:b/>
          <w:i/>
        </w:rPr>
        <w:t xml:space="preserve">  Refer to Section 4, </w:t>
      </w:r>
      <w:r w:rsidR="00227B50">
        <w:rPr>
          <w:b/>
          <w:i/>
        </w:rPr>
        <w:tab/>
        <w:t>Cost.</w:t>
      </w:r>
    </w:p>
    <w:p w:rsidR="00BF4121" w:rsidRPr="00BF4121" w:rsidRDefault="00BF4121" w:rsidP="00BF4121"/>
    <w:p w:rsidR="00BF4121" w:rsidRPr="00BF4121" w:rsidRDefault="00BF4121" w:rsidP="00BF4121">
      <w:r>
        <w:t>8.</w:t>
      </w:r>
      <w:r>
        <w:tab/>
      </w:r>
      <w:r w:rsidRPr="00BF4121">
        <w:t xml:space="preserve">Please clarify: Section 8.2.2.4 (F): Copies of applicable certifications and/or licenses. </w:t>
      </w:r>
      <w:r>
        <w:tab/>
      </w:r>
      <w:r w:rsidRPr="00BF4121">
        <w:t>What certifications/licenses are considered to be applicable?</w:t>
      </w:r>
    </w:p>
    <w:p w:rsidR="00BF4121" w:rsidRDefault="00BF4121" w:rsidP="00BF4121"/>
    <w:p w:rsidR="00BF4121" w:rsidRPr="00227B50" w:rsidRDefault="00075229" w:rsidP="00BF4121">
      <w:pPr>
        <w:rPr>
          <w:b/>
          <w:i/>
        </w:rPr>
      </w:pPr>
      <w:r>
        <w:tab/>
      </w:r>
      <w:r w:rsidR="00940E29" w:rsidRPr="00227B50">
        <w:rPr>
          <w:b/>
          <w:i/>
        </w:rPr>
        <w:t>Per NRS 656</w:t>
      </w:r>
      <w:r w:rsidR="00227B50">
        <w:rPr>
          <w:b/>
          <w:i/>
        </w:rPr>
        <w:t xml:space="preserve"> </w:t>
      </w:r>
      <w:r w:rsidR="00227B50" w:rsidRPr="00227B50">
        <w:rPr>
          <w:b/>
          <w:i/>
        </w:rPr>
        <w:t>Certificate of a Court Reporter</w:t>
      </w:r>
      <w:r w:rsidR="00227B50">
        <w:rPr>
          <w:b/>
          <w:i/>
        </w:rPr>
        <w:t xml:space="preserve">, a copy of each </w:t>
      </w:r>
      <w:r w:rsidR="0092165C">
        <w:rPr>
          <w:b/>
          <w:i/>
        </w:rPr>
        <w:t>reporter’s</w:t>
      </w:r>
      <w:r w:rsidR="00227B50">
        <w:rPr>
          <w:b/>
          <w:i/>
        </w:rPr>
        <w:t xml:space="preserve"> certification</w:t>
      </w:r>
      <w:r w:rsidR="00547752">
        <w:rPr>
          <w:b/>
          <w:i/>
        </w:rPr>
        <w:t xml:space="preserve"> </w:t>
      </w:r>
      <w:r w:rsidR="00547752">
        <w:rPr>
          <w:b/>
          <w:i/>
        </w:rPr>
        <w:tab/>
        <w:t>would need to be provided with the proposal</w:t>
      </w:r>
      <w:r w:rsidR="00227B50">
        <w:rPr>
          <w:b/>
          <w:i/>
        </w:rPr>
        <w:t>.</w:t>
      </w:r>
      <w:r w:rsidR="00227B50" w:rsidRPr="00227B50">
        <w:rPr>
          <w:b/>
          <w:i/>
        </w:rPr>
        <w:t xml:space="preserve"> </w:t>
      </w:r>
    </w:p>
    <w:p w:rsidR="00CB7826" w:rsidRDefault="00CB7826">
      <w:r>
        <w:br w:type="page"/>
      </w:r>
    </w:p>
    <w:p w:rsidR="00227B50" w:rsidRPr="00BF4121" w:rsidRDefault="00227B50" w:rsidP="00BF4121"/>
    <w:p w:rsidR="00BF4121" w:rsidRPr="00BF4121" w:rsidRDefault="00BF4121" w:rsidP="00BF4121">
      <w:pPr>
        <w:ind w:left="720" w:hanging="720"/>
      </w:pPr>
      <w:r>
        <w:t>9.</w:t>
      </w:r>
      <w:r>
        <w:tab/>
      </w:r>
      <w:r w:rsidRPr="00BF4121">
        <w:t>Pricing: In Section 4.1 the solicitation sates: “The State has established rates for court reporting services for court proceedings at the statutory rates, per NRS 3.370, refer to</w:t>
      </w:r>
      <w:proofErr w:type="gramStart"/>
      <w:r w:rsidRPr="00BF4121">
        <w:t>  Attachment</w:t>
      </w:r>
      <w:proofErr w:type="gramEnd"/>
      <w:r w:rsidRPr="00BF4121">
        <w:t xml:space="preserve"> G, Cost Schedule.” Are the rates currently listed in Attachment G the statutory rates? Are they meant to be the maximum rates that the vendor can charge the state? Can we add additional line items (such as appearance fees) to the schedule? Are turnaround times meant to be calendar day or business day (which is the industry standard)?</w:t>
      </w:r>
    </w:p>
    <w:p w:rsidR="00BF4121" w:rsidRDefault="00BF4121" w:rsidP="009F4206">
      <w:pPr>
        <w:pStyle w:val="NormalWeb"/>
        <w:spacing w:before="0" w:beforeAutospacing="0" w:after="0" w:afterAutospacing="0"/>
        <w:ind w:left="720" w:hanging="720"/>
        <w:jc w:val="both"/>
      </w:pPr>
    </w:p>
    <w:p w:rsidR="00227B50" w:rsidRPr="00227B50" w:rsidRDefault="00227B50" w:rsidP="009F4206">
      <w:pPr>
        <w:pStyle w:val="NormalWeb"/>
        <w:spacing w:before="0" w:beforeAutospacing="0" w:after="0" w:afterAutospacing="0"/>
        <w:ind w:left="720" w:hanging="720"/>
        <w:jc w:val="both"/>
        <w:rPr>
          <w:b/>
          <w:i/>
        </w:rPr>
      </w:pPr>
      <w:r>
        <w:tab/>
      </w:r>
      <w:r w:rsidRPr="00227B50">
        <w:rPr>
          <w:b/>
          <w:i/>
        </w:rPr>
        <w:t xml:space="preserve">Sections 4.1 under NRS 3.370 are the fees set for court proceedings at the statutory rates and cannot be changed.  </w:t>
      </w:r>
      <w:r>
        <w:rPr>
          <w:b/>
          <w:i/>
        </w:rPr>
        <w:t>Section 4.2 refers to all other types of proceedings and a pricing sheet is provided to add your company’s fees.</w:t>
      </w:r>
    </w:p>
    <w:p w:rsidR="002B1C16" w:rsidRPr="00D864BD" w:rsidRDefault="00227B50" w:rsidP="009F4206">
      <w:pPr>
        <w:pStyle w:val="NormalWeb"/>
        <w:spacing w:before="0" w:beforeAutospacing="0" w:after="0" w:afterAutospacing="0"/>
        <w:ind w:left="720" w:hanging="720"/>
        <w:jc w:val="both"/>
        <w:rPr>
          <w:b/>
          <w:i/>
        </w:rPr>
      </w:pPr>
      <w:r>
        <w:rPr>
          <w:b/>
          <w:i/>
        </w:rPr>
        <w:tab/>
      </w:r>
    </w:p>
    <w:p w:rsidR="00090603" w:rsidRDefault="00090603" w:rsidP="00090603">
      <w:pPr>
        <w:ind w:left="810" w:hanging="810"/>
        <w:jc w:val="both"/>
        <w:rPr>
          <w:szCs w:val="24"/>
        </w:rPr>
      </w:pPr>
    </w:p>
    <w:p w:rsidR="00B979E1" w:rsidRDefault="00B979E1" w:rsidP="00090603">
      <w:pPr>
        <w:ind w:left="810" w:hanging="810"/>
        <w:jc w:val="both"/>
        <w:rPr>
          <w:szCs w:val="24"/>
        </w:rPr>
      </w:pPr>
      <w:bookmarkStart w:id="0" w:name="_GoBack"/>
      <w:bookmarkEnd w:id="0"/>
    </w:p>
    <w:p w:rsidR="00090603" w:rsidRDefault="00090603" w:rsidP="00090603">
      <w:pPr>
        <w:jc w:val="both"/>
        <w:rPr>
          <w:b/>
          <w:i/>
          <w:sz w:val="28"/>
          <w:u w:val="single"/>
        </w:rPr>
      </w:pPr>
      <w:r>
        <w:rPr>
          <w:b/>
          <w:i/>
          <w:sz w:val="28"/>
          <w:u w:val="single"/>
        </w:rPr>
        <w:t xml:space="preserve">ALL ELSE REMAINS THE SAME FOR </w:t>
      </w:r>
      <w:r w:rsidR="009C7132">
        <w:rPr>
          <w:b/>
          <w:i/>
          <w:sz w:val="28"/>
          <w:u w:val="single"/>
        </w:rPr>
        <w:t>RFQ</w:t>
      </w:r>
      <w:r>
        <w:rPr>
          <w:b/>
          <w:i/>
          <w:sz w:val="28"/>
          <w:u w:val="single"/>
        </w:rPr>
        <w:t xml:space="preserve"> </w:t>
      </w:r>
      <w:r w:rsidR="006F0B81">
        <w:rPr>
          <w:b/>
          <w:i/>
          <w:sz w:val="28"/>
          <w:u w:val="single"/>
        </w:rPr>
        <w:t>3429</w:t>
      </w:r>
      <w:r>
        <w:rPr>
          <w:b/>
          <w:i/>
          <w:sz w:val="28"/>
          <w:u w:val="single"/>
        </w:rPr>
        <w:t>.</w:t>
      </w:r>
    </w:p>
    <w:p w:rsidR="00090603" w:rsidRDefault="00090603" w:rsidP="00090603">
      <w:pPr>
        <w:ind w:left="-1080"/>
        <w:jc w:val="both"/>
      </w:pPr>
    </w:p>
    <w:p w:rsidR="00090603" w:rsidRDefault="00090603" w:rsidP="00090603">
      <w:pPr>
        <w:ind w:left="-1080"/>
        <w:jc w:val="both"/>
      </w:pPr>
    </w:p>
    <w:p w:rsidR="00090603" w:rsidRDefault="00090603" w:rsidP="00090603">
      <w:r>
        <w:t>Vendor shall sign and return this amendment with proposal submitted.</w:t>
      </w:r>
    </w:p>
    <w:p w:rsidR="00090603" w:rsidRDefault="00090603" w:rsidP="00090603"/>
    <w:tbl>
      <w:tblPr>
        <w:tblW w:w="0" w:type="auto"/>
        <w:tblInd w:w="18" w:type="dxa"/>
        <w:tblLook w:val="04A0" w:firstRow="1" w:lastRow="0" w:firstColumn="1" w:lastColumn="0" w:noHBand="0" w:noVBand="1"/>
      </w:tblPr>
      <w:tblGrid>
        <w:gridCol w:w="2749"/>
        <w:gridCol w:w="2601"/>
        <w:gridCol w:w="899"/>
        <w:gridCol w:w="3309"/>
      </w:tblGrid>
      <w:tr w:rsidR="00090603" w:rsidRPr="00586025" w:rsidTr="007A3566">
        <w:trPr>
          <w:trHeight w:val="432"/>
        </w:trPr>
        <w:tc>
          <w:tcPr>
            <w:tcW w:w="2749" w:type="dxa"/>
            <w:vAlign w:val="center"/>
          </w:tcPr>
          <w:p w:rsidR="00090603" w:rsidRPr="00586025" w:rsidRDefault="00090603" w:rsidP="002F7316">
            <w:r>
              <w:t>NAME OF VENDOR</w:t>
            </w:r>
          </w:p>
        </w:tc>
        <w:tc>
          <w:tcPr>
            <w:tcW w:w="6809" w:type="dxa"/>
            <w:gridSpan w:val="3"/>
            <w:tcBorders>
              <w:bottom w:val="single" w:sz="4" w:space="0" w:color="auto"/>
            </w:tcBorders>
            <w:vAlign w:val="center"/>
          </w:tcPr>
          <w:p w:rsidR="00090603" w:rsidRPr="00586025" w:rsidRDefault="00090603" w:rsidP="002F7316"/>
        </w:tc>
      </w:tr>
      <w:tr w:rsidR="00090603" w:rsidRPr="00586025" w:rsidTr="007A3566">
        <w:trPr>
          <w:trHeight w:val="432"/>
        </w:trPr>
        <w:tc>
          <w:tcPr>
            <w:tcW w:w="2749" w:type="dxa"/>
            <w:vAlign w:val="center"/>
          </w:tcPr>
          <w:p w:rsidR="00090603" w:rsidRPr="00586025" w:rsidRDefault="00090603" w:rsidP="002F7316">
            <w:r>
              <w:t>AUTHORIZED SIGNATURE</w:t>
            </w:r>
          </w:p>
        </w:tc>
        <w:tc>
          <w:tcPr>
            <w:tcW w:w="6809" w:type="dxa"/>
            <w:gridSpan w:val="3"/>
            <w:tcBorders>
              <w:top w:val="single" w:sz="4" w:space="0" w:color="auto"/>
              <w:bottom w:val="single" w:sz="4" w:space="0" w:color="auto"/>
            </w:tcBorders>
            <w:vAlign w:val="center"/>
          </w:tcPr>
          <w:p w:rsidR="00090603" w:rsidRPr="00586025" w:rsidRDefault="00090603" w:rsidP="002F7316"/>
        </w:tc>
      </w:tr>
      <w:tr w:rsidR="00090603" w:rsidRPr="00586025" w:rsidTr="00DC0676">
        <w:trPr>
          <w:trHeight w:val="432"/>
        </w:trPr>
        <w:tc>
          <w:tcPr>
            <w:tcW w:w="2749" w:type="dxa"/>
            <w:vAlign w:val="center"/>
          </w:tcPr>
          <w:p w:rsidR="00090603" w:rsidRDefault="00090603" w:rsidP="002F7316">
            <w:r>
              <w:t>TITLE</w:t>
            </w:r>
          </w:p>
        </w:tc>
        <w:tc>
          <w:tcPr>
            <w:tcW w:w="2601" w:type="dxa"/>
            <w:tcBorders>
              <w:top w:val="single" w:sz="4" w:space="0" w:color="auto"/>
              <w:bottom w:val="single" w:sz="4" w:space="0" w:color="auto"/>
            </w:tcBorders>
            <w:vAlign w:val="center"/>
          </w:tcPr>
          <w:p w:rsidR="00090603" w:rsidRPr="00586025" w:rsidRDefault="00090603" w:rsidP="002F7316"/>
        </w:tc>
        <w:tc>
          <w:tcPr>
            <w:tcW w:w="899" w:type="dxa"/>
            <w:tcBorders>
              <w:top w:val="single" w:sz="4" w:space="0" w:color="auto"/>
            </w:tcBorders>
            <w:vAlign w:val="center"/>
          </w:tcPr>
          <w:p w:rsidR="00090603" w:rsidRPr="00ED7FC5" w:rsidRDefault="00090603" w:rsidP="002F7316">
            <w:r w:rsidRPr="00ED7FC5">
              <w:rPr>
                <w:b/>
              </w:rPr>
              <w:t>DATE</w:t>
            </w:r>
          </w:p>
        </w:tc>
        <w:tc>
          <w:tcPr>
            <w:tcW w:w="3309" w:type="dxa"/>
            <w:tcBorders>
              <w:top w:val="single" w:sz="4" w:space="0" w:color="auto"/>
              <w:bottom w:val="single" w:sz="4" w:space="0" w:color="auto"/>
            </w:tcBorders>
            <w:vAlign w:val="center"/>
          </w:tcPr>
          <w:p w:rsidR="00090603" w:rsidRPr="00586025" w:rsidRDefault="00090603" w:rsidP="002F7316"/>
        </w:tc>
      </w:tr>
    </w:tbl>
    <w:p w:rsidR="00090603" w:rsidRDefault="00090603" w:rsidP="00090603"/>
    <w:p w:rsidR="00361852" w:rsidRDefault="009C7132" w:rsidP="00361852">
      <w:pPr>
        <w:pStyle w:val="BodyTextIndent"/>
        <w:ind w:left="0"/>
        <w:jc w:val="center"/>
      </w:pPr>
      <w:r>
        <w:t>RFQ</w:t>
      </w:r>
      <w:r w:rsidR="00361852">
        <w:t xml:space="preserve"> </w:t>
      </w:r>
      <w:r w:rsidR="006F0B81">
        <w:t>3429</w:t>
      </w:r>
      <w:r w:rsidR="00361852">
        <w:t xml:space="preserve"> Amendment </w:t>
      </w:r>
      <w:r w:rsidR="006F0B81">
        <w:t>1</w:t>
      </w:r>
    </w:p>
    <w:p w:rsidR="00D74F24" w:rsidRPr="00D74F24" w:rsidRDefault="00D74F24" w:rsidP="00361852">
      <w:pPr>
        <w:pStyle w:val="BodyTextIndent"/>
        <w:ind w:left="0"/>
        <w:jc w:val="center"/>
        <w:rPr>
          <w:b w:val="0"/>
          <w:i w:val="0"/>
        </w:rPr>
      </w:pPr>
    </w:p>
    <w:p w:rsidR="00361852" w:rsidRPr="00D74F24" w:rsidRDefault="00B979E1" w:rsidP="00361852">
      <w:pPr>
        <w:pStyle w:val="BodyTextIndent"/>
        <w:ind w:left="0"/>
        <w:jc w:val="center"/>
        <w:rPr>
          <w:b w:val="0"/>
          <w:i w:val="0"/>
        </w:rPr>
      </w:pPr>
      <w:r>
        <w:rPr>
          <w:b w:val="0"/>
          <w:i w:val="0"/>
          <w:noProof/>
          <w:sz w:val="20"/>
        </w:rPr>
        <w:pict>
          <v:shapetype id="_x0000_t202" coordsize="21600,21600" o:spt="202" path="m,l,21600r21600,l21600,xe">
            <v:stroke joinstyle="miter"/>
            <v:path gradientshapeok="t" o:connecttype="rect"/>
          </v:shapetype>
          <v:shape id="_x0000_s1026" type="#_x0000_t202" style="position:absolute;left:0;text-align:left;margin-left:117pt;margin-top:5.75pt;width:247.05pt;height:36pt;flip:y;z-index:-251658752;mso-wrap-edited:f" wrapcoords="-56 0 -56 21600 21656 21600 21656 0 -56 0">
            <v:fill opacity=".5"/>
            <v:textbox style="mso-next-textbox:#_x0000_s1026">
              <w:txbxContent>
                <w:p w:rsidR="00361852" w:rsidRDefault="00361852" w:rsidP="00361852">
                  <w:pPr>
                    <w:pStyle w:val="Heading1"/>
                    <w:jc w:val="center"/>
                    <w:rPr>
                      <w:bCs/>
                    </w:rPr>
                  </w:pPr>
                  <w:r>
                    <w:rPr>
                      <w:bCs/>
                      <w:sz w:val="20"/>
                    </w:rPr>
                    <w:t xml:space="preserve">This document must be submitted in the </w:t>
                  </w:r>
                  <w:r>
                    <w:rPr>
                      <w:sz w:val="20"/>
                    </w:rPr>
                    <w:t>“</w:t>
                  </w:r>
                  <w:r>
                    <w:rPr>
                      <w:bCs/>
                      <w:sz w:val="20"/>
                    </w:rPr>
                    <w:t>State Documents</w:t>
                  </w:r>
                  <w:r>
                    <w:rPr>
                      <w:sz w:val="20"/>
                    </w:rPr>
                    <w:t>”</w:t>
                  </w:r>
                  <w:r>
                    <w:rPr>
                      <w:bCs/>
                      <w:sz w:val="20"/>
                    </w:rPr>
                    <w:t xml:space="preserve"> section</w:t>
                  </w:r>
                  <w:r>
                    <w:rPr>
                      <w:sz w:val="20"/>
                    </w:rPr>
                    <w:t>/tab</w:t>
                  </w:r>
                  <w:r>
                    <w:rPr>
                      <w:bCs/>
                      <w:sz w:val="20"/>
                    </w:rPr>
                    <w:t xml:space="preserve"> of vendors’ technical proposal</w:t>
                  </w:r>
                </w:p>
                <w:p w:rsidR="00361852" w:rsidRDefault="00361852" w:rsidP="00361852">
                  <w:pPr>
                    <w:jc w:val="center"/>
                  </w:pPr>
                </w:p>
                <w:p w:rsidR="00361852" w:rsidRDefault="00361852" w:rsidP="00361852">
                  <w:pPr>
                    <w:jc w:val="center"/>
                  </w:pPr>
                </w:p>
              </w:txbxContent>
            </v:textbox>
            <w10:wrap side="right"/>
          </v:shape>
        </w:pict>
      </w:r>
    </w:p>
    <w:p w:rsidR="00361852" w:rsidRPr="007A1B19" w:rsidRDefault="00361852" w:rsidP="00361852"/>
    <w:p w:rsidR="008B4FAD" w:rsidRDefault="008B4FAD" w:rsidP="002F7316">
      <w:pPr>
        <w:jc w:val="center"/>
      </w:pPr>
    </w:p>
    <w:p w:rsidR="008B4FAD" w:rsidRDefault="008B4FAD"/>
    <w:p w:rsidR="00333235" w:rsidRDefault="00333235"/>
    <w:p w:rsidR="00333235" w:rsidRDefault="00333235"/>
    <w:p w:rsidR="00333235" w:rsidRDefault="00333235"/>
    <w:p w:rsidR="00333235" w:rsidRDefault="00333235"/>
    <w:p w:rsidR="00333235" w:rsidRDefault="00333235"/>
    <w:p w:rsidR="00333235" w:rsidRDefault="00333235"/>
    <w:p w:rsidR="00333235" w:rsidRDefault="00333235"/>
    <w:sectPr w:rsidR="00333235" w:rsidSect="002F7316">
      <w:footerReference w:type="default" r:id="rId10"/>
      <w:pgSz w:w="12240" w:h="15840"/>
      <w:pgMar w:top="720" w:right="1440" w:bottom="72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16" w:rsidRDefault="002F7316" w:rsidP="0047674B">
      <w:r>
        <w:separator/>
      </w:r>
    </w:p>
  </w:endnote>
  <w:endnote w:type="continuationSeparator" w:id="0">
    <w:p w:rsidR="002F7316" w:rsidRDefault="002F7316" w:rsidP="0047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16" w:rsidRPr="00436FF2" w:rsidRDefault="002F7316" w:rsidP="0047674B">
    <w:pPr>
      <w:pStyle w:val="Footer"/>
      <w:pBdr>
        <w:top w:val="single" w:sz="4" w:space="1" w:color="auto"/>
      </w:pBdr>
      <w:tabs>
        <w:tab w:val="center" w:pos="4500"/>
      </w:tabs>
      <w:ind w:right="-180"/>
      <w:rPr>
        <w:sz w:val="22"/>
        <w:szCs w:val="22"/>
      </w:rPr>
    </w:pPr>
    <w:r w:rsidRPr="00436FF2">
      <w:rPr>
        <w:i/>
        <w:sz w:val="22"/>
        <w:szCs w:val="22"/>
      </w:rPr>
      <w:t xml:space="preserve">Amendment </w:t>
    </w:r>
    <w:r w:rsidR="006F0B81">
      <w:rPr>
        <w:i/>
        <w:sz w:val="22"/>
        <w:szCs w:val="22"/>
      </w:rPr>
      <w:t>1</w:t>
    </w:r>
    <w:r w:rsidRPr="00436FF2">
      <w:rPr>
        <w:i/>
        <w:sz w:val="22"/>
        <w:szCs w:val="22"/>
      </w:rPr>
      <w:tab/>
    </w:r>
    <w:r w:rsidR="009C7132">
      <w:rPr>
        <w:i/>
        <w:sz w:val="22"/>
        <w:szCs w:val="22"/>
      </w:rPr>
      <w:t>RFQ</w:t>
    </w:r>
    <w:r w:rsidRPr="00436FF2">
      <w:rPr>
        <w:i/>
        <w:sz w:val="22"/>
        <w:szCs w:val="22"/>
      </w:rPr>
      <w:t xml:space="preserve"> </w:t>
    </w:r>
    <w:r w:rsidR="006F0B81">
      <w:rPr>
        <w:i/>
        <w:sz w:val="22"/>
        <w:szCs w:val="22"/>
      </w:rPr>
      <w:t>3429</w:t>
    </w:r>
    <w:r w:rsidRPr="00436FF2">
      <w:rPr>
        <w:i/>
        <w:sz w:val="22"/>
        <w:szCs w:val="22"/>
      </w:rPr>
      <w:tab/>
      <w:t xml:space="preserve">Page </w:t>
    </w:r>
    <w:r w:rsidR="008F787A" w:rsidRPr="00436FF2">
      <w:rPr>
        <w:i/>
        <w:sz w:val="22"/>
        <w:szCs w:val="22"/>
      </w:rPr>
      <w:fldChar w:fldCharType="begin"/>
    </w:r>
    <w:r w:rsidRPr="00436FF2">
      <w:rPr>
        <w:i/>
        <w:sz w:val="22"/>
        <w:szCs w:val="22"/>
      </w:rPr>
      <w:instrText xml:space="preserve"> PAGE </w:instrText>
    </w:r>
    <w:r w:rsidR="008F787A" w:rsidRPr="00436FF2">
      <w:rPr>
        <w:i/>
        <w:sz w:val="22"/>
        <w:szCs w:val="22"/>
      </w:rPr>
      <w:fldChar w:fldCharType="separate"/>
    </w:r>
    <w:r w:rsidR="00B979E1">
      <w:rPr>
        <w:i/>
        <w:noProof/>
        <w:sz w:val="22"/>
        <w:szCs w:val="22"/>
      </w:rPr>
      <w:t>3</w:t>
    </w:r>
    <w:r w:rsidR="008F787A" w:rsidRPr="00436FF2">
      <w:rPr>
        <w:i/>
        <w:sz w:val="22"/>
        <w:szCs w:val="22"/>
      </w:rPr>
      <w:fldChar w:fldCharType="end"/>
    </w:r>
    <w:r w:rsidRPr="00436FF2">
      <w:rPr>
        <w:i/>
        <w:sz w:val="22"/>
        <w:szCs w:val="22"/>
      </w:rPr>
      <w:t xml:space="preserve"> of </w:t>
    </w:r>
    <w:r w:rsidR="008F787A" w:rsidRPr="00436FF2">
      <w:rPr>
        <w:i/>
        <w:sz w:val="22"/>
        <w:szCs w:val="22"/>
      </w:rPr>
      <w:fldChar w:fldCharType="begin"/>
    </w:r>
    <w:r w:rsidRPr="00436FF2">
      <w:rPr>
        <w:i/>
        <w:sz w:val="22"/>
        <w:szCs w:val="22"/>
      </w:rPr>
      <w:instrText xml:space="preserve"> NUMPAGES  </w:instrText>
    </w:r>
    <w:r w:rsidR="008F787A" w:rsidRPr="00436FF2">
      <w:rPr>
        <w:i/>
        <w:sz w:val="22"/>
        <w:szCs w:val="22"/>
      </w:rPr>
      <w:fldChar w:fldCharType="separate"/>
    </w:r>
    <w:r w:rsidR="00B979E1">
      <w:rPr>
        <w:i/>
        <w:noProof/>
        <w:sz w:val="22"/>
        <w:szCs w:val="22"/>
      </w:rPr>
      <w:t>3</w:t>
    </w:r>
    <w:r w:rsidR="008F787A" w:rsidRPr="00436FF2">
      <w:rP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16" w:rsidRDefault="002F7316" w:rsidP="0047674B">
      <w:r>
        <w:separator/>
      </w:r>
    </w:p>
  </w:footnote>
  <w:footnote w:type="continuationSeparator" w:id="0">
    <w:p w:rsidR="002F7316" w:rsidRDefault="002F7316" w:rsidP="00476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D59"/>
    <w:multiLevelType w:val="hybridMultilevel"/>
    <w:tmpl w:val="06E6FBB4"/>
    <w:lvl w:ilvl="0" w:tplc="EC2253D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C148F6"/>
    <w:multiLevelType w:val="hybridMultilevel"/>
    <w:tmpl w:val="C4B281BE"/>
    <w:lvl w:ilvl="0" w:tplc="88DE3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A01D8"/>
    <w:multiLevelType w:val="hybridMultilevel"/>
    <w:tmpl w:val="F31A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47674B"/>
    <w:rsid w:val="00022061"/>
    <w:rsid w:val="000278AF"/>
    <w:rsid w:val="00051CCD"/>
    <w:rsid w:val="00062FAE"/>
    <w:rsid w:val="00073BB4"/>
    <w:rsid w:val="00075229"/>
    <w:rsid w:val="00090603"/>
    <w:rsid w:val="00091CA2"/>
    <w:rsid w:val="001340ED"/>
    <w:rsid w:val="00184090"/>
    <w:rsid w:val="0020427D"/>
    <w:rsid w:val="00227B50"/>
    <w:rsid w:val="002B13D0"/>
    <w:rsid w:val="002B1C16"/>
    <w:rsid w:val="002B2F93"/>
    <w:rsid w:val="002F7316"/>
    <w:rsid w:val="00300D74"/>
    <w:rsid w:val="00333235"/>
    <w:rsid w:val="00361852"/>
    <w:rsid w:val="0047674B"/>
    <w:rsid w:val="004D2557"/>
    <w:rsid w:val="0051060D"/>
    <w:rsid w:val="00547752"/>
    <w:rsid w:val="006F0B81"/>
    <w:rsid w:val="00720846"/>
    <w:rsid w:val="00757710"/>
    <w:rsid w:val="007A3566"/>
    <w:rsid w:val="00800F25"/>
    <w:rsid w:val="00803F4A"/>
    <w:rsid w:val="008B4FAD"/>
    <w:rsid w:val="008B6DF8"/>
    <w:rsid w:val="008F787A"/>
    <w:rsid w:val="00910D47"/>
    <w:rsid w:val="00913D8D"/>
    <w:rsid w:val="0092165C"/>
    <w:rsid w:val="00940E29"/>
    <w:rsid w:val="00953B41"/>
    <w:rsid w:val="00965526"/>
    <w:rsid w:val="00980BB0"/>
    <w:rsid w:val="009C7132"/>
    <w:rsid w:val="009D52CF"/>
    <w:rsid w:val="009F4206"/>
    <w:rsid w:val="00A92AEC"/>
    <w:rsid w:val="00B26E78"/>
    <w:rsid w:val="00B4187E"/>
    <w:rsid w:val="00B55E8C"/>
    <w:rsid w:val="00B979E1"/>
    <w:rsid w:val="00BD4CA2"/>
    <w:rsid w:val="00BF4121"/>
    <w:rsid w:val="00C744F9"/>
    <w:rsid w:val="00C90328"/>
    <w:rsid w:val="00CA58EF"/>
    <w:rsid w:val="00CB7826"/>
    <w:rsid w:val="00CD74C1"/>
    <w:rsid w:val="00CE6AA2"/>
    <w:rsid w:val="00D674C6"/>
    <w:rsid w:val="00D74E8D"/>
    <w:rsid w:val="00D74F24"/>
    <w:rsid w:val="00D864BD"/>
    <w:rsid w:val="00DC0676"/>
    <w:rsid w:val="00DD43AD"/>
    <w:rsid w:val="00DF2636"/>
    <w:rsid w:val="00E373C2"/>
    <w:rsid w:val="00F553FE"/>
    <w:rsid w:val="00F57627"/>
    <w:rsid w:val="00F9344D"/>
    <w:rsid w:val="00FE2FF0"/>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F0"/>
    <w:rPr>
      <w:sz w:val="24"/>
    </w:rPr>
  </w:style>
  <w:style w:type="paragraph" w:styleId="Heading1">
    <w:name w:val="heading 1"/>
    <w:basedOn w:val="Normal"/>
    <w:next w:val="Normal"/>
    <w:link w:val="Heading1Char"/>
    <w:qFormat/>
    <w:rsid w:val="00F553FE"/>
    <w:pPr>
      <w:keepNext/>
      <w:outlineLvl w:val="0"/>
    </w:pPr>
  </w:style>
  <w:style w:type="paragraph" w:styleId="Heading2">
    <w:name w:val="heading 2"/>
    <w:basedOn w:val="Normal"/>
    <w:next w:val="Normal"/>
    <w:link w:val="Heading2Char"/>
    <w:qFormat/>
    <w:rsid w:val="00F553FE"/>
    <w:pPr>
      <w:keepNext/>
      <w:jc w:val="center"/>
      <w:outlineLvl w:val="1"/>
    </w:pPr>
  </w:style>
  <w:style w:type="paragraph" w:styleId="Heading3">
    <w:name w:val="heading 3"/>
    <w:basedOn w:val="Normal"/>
    <w:next w:val="Normal"/>
    <w:link w:val="Heading3Char"/>
    <w:qFormat/>
    <w:rsid w:val="00F553FE"/>
    <w:pPr>
      <w:keepNext/>
      <w:ind w:left="-1080"/>
      <w:outlineLvl w:val="2"/>
    </w:pPr>
  </w:style>
  <w:style w:type="paragraph" w:styleId="Heading5">
    <w:name w:val="heading 5"/>
    <w:basedOn w:val="Normal"/>
    <w:next w:val="Normal"/>
    <w:link w:val="Heading5Char"/>
    <w:semiHidden/>
    <w:unhideWhenUsed/>
    <w:qFormat/>
    <w:rsid w:val="00913D8D"/>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D8D"/>
    <w:rPr>
      <w:sz w:val="24"/>
    </w:rPr>
  </w:style>
  <w:style w:type="character" w:customStyle="1" w:styleId="Heading2Char">
    <w:name w:val="Heading 2 Char"/>
    <w:basedOn w:val="DefaultParagraphFont"/>
    <w:link w:val="Heading2"/>
    <w:rsid w:val="00913D8D"/>
    <w:rPr>
      <w:b/>
      <w:sz w:val="24"/>
    </w:rPr>
  </w:style>
  <w:style w:type="character" w:customStyle="1" w:styleId="Heading3Char">
    <w:name w:val="Heading 3 Char"/>
    <w:basedOn w:val="DefaultParagraphFont"/>
    <w:link w:val="Heading3"/>
    <w:rsid w:val="00913D8D"/>
    <w:rPr>
      <w:sz w:val="24"/>
    </w:rPr>
  </w:style>
  <w:style w:type="character" w:customStyle="1" w:styleId="Heading5Char">
    <w:name w:val="Heading 5 Char"/>
    <w:basedOn w:val="DefaultParagraphFont"/>
    <w:link w:val="Heading5"/>
    <w:semiHidden/>
    <w:rsid w:val="00913D8D"/>
    <w:rPr>
      <w:rFonts w:ascii="Calibri" w:eastAsia="Times New Roman" w:hAnsi="Calibri" w:cs="Times New Roman"/>
      <w:b/>
      <w:bCs/>
      <w:i/>
      <w:iCs/>
      <w:sz w:val="26"/>
      <w:szCs w:val="26"/>
    </w:rPr>
  </w:style>
  <w:style w:type="paragraph" w:styleId="Title">
    <w:name w:val="Title"/>
    <w:basedOn w:val="Normal"/>
    <w:link w:val="TitleChar"/>
    <w:qFormat/>
    <w:rsid w:val="00F553FE"/>
    <w:pPr>
      <w:jc w:val="center"/>
    </w:pPr>
  </w:style>
  <w:style w:type="character" w:customStyle="1" w:styleId="TitleChar">
    <w:name w:val="Title Char"/>
    <w:basedOn w:val="DefaultParagraphFont"/>
    <w:link w:val="Title"/>
    <w:rsid w:val="00913D8D"/>
    <w:rPr>
      <w:sz w:val="24"/>
    </w:rPr>
  </w:style>
  <w:style w:type="paragraph" w:styleId="ListParagraph">
    <w:name w:val="List Paragraph"/>
    <w:basedOn w:val="Normal"/>
    <w:uiPriority w:val="34"/>
    <w:qFormat/>
    <w:rsid w:val="00913D8D"/>
    <w:pPr>
      <w:ind w:left="720"/>
    </w:pPr>
    <w:rPr>
      <w:rFonts w:cs="Arial"/>
    </w:rPr>
  </w:style>
  <w:style w:type="paragraph" w:styleId="Header">
    <w:name w:val="header"/>
    <w:basedOn w:val="Normal"/>
    <w:link w:val="HeaderChar"/>
    <w:unhideWhenUsed/>
    <w:rsid w:val="0047674B"/>
    <w:pPr>
      <w:tabs>
        <w:tab w:val="center" w:pos="4680"/>
        <w:tab w:val="right" w:pos="9360"/>
      </w:tabs>
    </w:pPr>
  </w:style>
  <w:style w:type="character" w:customStyle="1" w:styleId="HeaderChar">
    <w:name w:val="Header Char"/>
    <w:basedOn w:val="DefaultParagraphFont"/>
    <w:link w:val="Header"/>
    <w:rsid w:val="0047674B"/>
  </w:style>
  <w:style w:type="paragraph" w:styleId="Footer">
    <w:name w:val="footer"/>
    <w:basedOn w:val="Normal"/>
    <w:link w:val="FooterChar"/>
    <w:uiPriority w:val="99"/>
    <w:unhideWhenUsed/>
    <w:rsid w:val="0047674B"/>
    <w:pPr>
      <w:tabs>
        <w:tab w:val="center" w:pos="4680"/>
        <w:tab w:val="right" w:pos="9360"/>
      </w:tabs>
    </w:pPr>
  </w:style>
  <w:style w:type="character" w:customStyle="1" w:styleId="FooterChar">
    <w:name w:val="Footer Char"/>
    <w:basedOn w:val="DefaultParagraphFont"/>
    <w:link w:val="Footer"/>
    <w:uiPriority w:val="99"/>
    <w:rsid w:val="0047674B"/>
  </w:style>
  <w:style w:type="paragraph" w:styleId="BodyTextIndent">
    <w:name w:val="Body Text Indent"/>
    <w:basedOn w:val="Normal"/>
    <w:link w:val="BodyTextIndentChar"/>
    <w:rsid w:val="00090603"/>
    <w:pPr>
      <w:ind w:left="360"/>
    </w:pPr>
    <w:rPr>
      <w:b/>
      <w:i/>
    </w:rPr>
  </w:style>
  <w:style w:type="character" w:customStyle="1" w:styleId="BodyTextIndentChar">
    <w:name w:val="Body Text Indent Char"/>
    <w:basedOn w:val="DefaultParagraphFont"/>
    <w:link w:val="BodyTextIndent"/>
    <w:rsid w:val="00090603"/>
    <w:rPr>
      <w:b/>
      <w:i/>
      <w:sz w:val="24"/>
    </w:rPr>
  </w:style>
  <w:style w:type="paragraph" w:styleId="NormalWeb">
    <w:name w:val="Normal (Web)"/>
    <w:basedOn w:val="Normal"/>
    <w:uiPriority w:val="99"/>
    <w:unhideWhenUsed/>
    <w:rsid w:val="002F7316"/>
    <w:pPr>
      <w:spacing w:before="100" w:beforeAutospacing="1" w:after="100" w:afterAutospacing="1"/>
    </w:pPr>
    <w:rPr>
      <w:rFonts w:eastAsia="Calibri"/>
      <w:szCs w:val="24"/>
    </w:rPr>
  </w:style>
  <w:style w:type="paragraph" w:styleId="BalloonText">
    <w:name w:val="Balloon Text"/>
    <w:basedOn w:val="Normal"/>
    <w:link w:val="BalloonTextChar"/>
    <w:uiPriority w:val="99"/>
    <w:semiHidden/>
    <w:unhideWhenUsed/>
    <w:rsid w:val="00D74F24"/>
    <w:rPr>
      <w:rFonts w:ascii="Tahoma" w:hAnsi="Tahoma" w:cs="Tahoma"/>
      <w:sz w:val="16"/>
      <w:szCs w:val="16"/>
    </w:rPr>
  </w:style>
  <w:style w:type="character" w:customStyle="1" w:styleId="BalloonTextChar">
    <w:name w:val="Balloon Text Char"/>
    <w:basedOn w:val="DefaultParagraphFont"/>
    <w:link w:val="BalloonText"/>
    <w:uiPriority w:val="99"/>
    <w:semiHidden/>
    <w:rsid w:val="00D74F24"/>
    <w:rPr>
      <w:rFonts w:ascii="Tahoma" w:hAnsi="Tahoma" w:cs="Tahoma"/>
      <w:sz w:val="16"/>
      <w:szCs w:val="16"/>
    </w:rPr>
  </w:style>
  <w:style w:type="paragraph" w:styleId="HTMLPreformatted">
    <w:name w:val="HTML Preformatted"/>
    <w:basedOn w:val="Normal"/>
    <w:link w:val="HTMLPreformattedChar"/>
    <w:uiPriority w:val="99"/>
    <w:semiHidden/>
    <w:unhideWhenUsed/>
    <w:rsid w:val="001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1340ED"/>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2718">
      <w:bodyDiv w:val="1"/>
      <w:marLeft w:val="0"/>
      <w:marRight w:val="0"/>
      <w:marTop w:val="0"/>
      <w:marBottom w:val="0"/>
      <w:divBdr>
        <w:top w:val="none" w:sz="0" w:space="0" w:color="auto"/>
        <w:left w:val="none" w:sz="0" w:space="0" w:color="auto"/>
        <w:bottom w:val="none" w:sz="0" w:space="0" w:color="auto"/>
        <w:right w:val="none" w:sz="0" w:space="0" w:color="auto"/>
      </w:divBdr>
    </w:div>
    <w:div w:id="1816877373">
      <w:bodyDiv w:val="1"/>
      <w:marLeft w:val="0"/>
      <w:marRight w:val="0"/>
      <w:marTop w:val="0"/>
      <w:marBottom w:val="0"/>
      <w:divBdr>
        <w:top w:val="none" w:sz="0" w:space="0" w:color="auto"/>
        <w:left w:val="none" w:sz="0" w:space="0" w:color="auto"/>
        <w:bottom w:val="none" w:sz="0" w:space="0" w:color="auto"/>
        <w:right w:val="none" w:sz="0" w:space="0" w:color="auto"/>
      </w:divBdr>
    </w:div>
    <w:div w:id="20841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dc:creator>
  <cp:keywords/>
  <dc:description/>
  <cp:lastModifiedBy>Jennie B. Humphreys</cp:lastModifiedBy>
  <cp:revision>26</cp:revision>
  <cp:lastPrinted>2017-09-08T16:03:00Z</cp:lastPrinted>
  <dcterms:created xsi:type="dcterms:W3CDTF">2012-10-09T23:18:00Z</dcterms:created>
  <dcterms:modified xsi:type="dcterms:W3CDTF">2017-09-08T16:03:00Z</dcterms:modified>
</cp:coreProperties>
</file>